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B4" w:rsidRDefault="009B62B4" w:rsidP="009B62B4">
      <w:pPr>
        <w:pStyle w:val="zaglavlje"/>
        <w:ind w:left="1050" w:right="3150"/>
        <w:rPr>
          <w:rFonts w:ascii="Arial" w:hAnsi="Arial" w:cs="Arial"/>
          <w:color w:val="000000"/>
          <w:sz w:val="20"/>
          <w:szCs w:val="20"/>
        </w:rPr>
      </w:pPr>
      <w:r>
        <w:rPr>
          <w:rFonts w:ascii="Arial" w:hAnsi="Arial" w:cs="Arial"/>
          <w:color w:val="000000"/>
          <w:sz w:val="20"/>
          <w:szCs w:val="20"/>
        </w:rPr>
        <w:t>Temeljem članka 10. Zakona o prostornom uređenju (Narodne novine 30/94., 68/98., 61/00. i 32/02.) i članka 9. Statuta općine Brckovljani (Službeni glasnik općine Brckovljani 5/01.) Općinsko vijeće općine Brckovljani na 16. sjednici održanoj 29. prosinca 2003. donijelo je</w:t>
      </w:r>
    </w:p>
    <w:p w:rsidR="009B62B4" w:rsidRDefault="009B62B4" w:rsidP="009B62B4">
      <w:pPr>
        <w:pStyle w:val="naslov"/>
        <w:spacing w:before="360" w:beforeAutospacing="0" w:after="240" w:afterAutospacing="0" w:line="240" w:lineRule="atLeast"/>
        <w:jc w:val="center"/>
        <w:rPr>
          <w:rFonts w:ascii="Arial" w:hAnsi="Arial" w:cs="Arial"/>
          <w:b/>
          <w:bCs/>
          <w:color w:val="000000"/>
          <w:sz w:val="20"/>
          <w:szCs w:val="20"/>
        </w:rPr>
      </w:pPr>
      <w:r>
        <w:rPr>
          <w:rFonts w:ascii="Arial" w:hAnsi="Arial" w:cs="Arial"/>
          <w:b/>
          <w:bCs/>
          <w:color w:val="000000"/>
        </w:rPr>
        <w:t>IZVJEŠĆE O STANJU U PROSTORU </w:t>
      </w:r>
      <w:r>
        <w:rPr>
          <w:rFonts w:ascii="Arial" w:hAnsi="Arial" w:cs="Arial"/>
          <w:b/>
          <w:bCs/>
          <w:color w:val="000000"/>
        </w:rPr>
        <w:br/>
        <w:t>OPĆINE BRCKOVLJANI</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UVOD</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Temeljem članka 10. Zakona o prostornom uređenju (Narodne Novine 30/94., 68/98., 61/00. i 32/02.), propisana je obaveza izrade dvogodišnjeg Izvješća o stanju u prostoru na području države, županije, općine i grada, koje sadrži analizu provođenja dokumenata prostornog uređenja i drugih dokumenata, ocjenu provedenih mjera i njihove učinkovitosti na svrhovito gospodarenje prostorom, na zaštitu vrijednosti prostora i okoliša, te druge elemente od važnosti za prostor za koji se izrađuje. Na temelju Izvješća o stanju u prostoru, a u svrhu utvrđivanja obaveze izrade i donošenja potrebnih dokumenata prostornog ure</w:t>
      </w:r>
      <w:r>
        <w:rPr>
          <w:rFonts w:ascii="Arial" w:hAnsi="Arial" w:cs="Arial"/>
          <w:color w:val="000000"/>
          <w:sz w:val="20"/>
          <w:szCs w:val="20"/>
        </w:rPr>
        <w:softHyphen/>
        <w:t>đenja, predstavničko tijelo općine donosi dvogodišnji Program mjera za unapređenje stanja u prostoru (u daljnjem tekstu: Program mjera).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 temelju navedenog Zakona Jedinstveni upravni odjel Općine Brckovljani izradio je Izvješće o stanju u prostoru općine Brckovljani.</w:t>
      </w:r>
    </w:p>
    <w:p w:rsidR="009B62B4" w:rsidRDefault="009B62B4" w:rsidP="009B62B4">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I. IZVJEŠĆE O STANJU U PROSTORU OPĆINE BRCKOVLJANI</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Zakonom o područjima županija, gradova i općina u Republici Hrvatskoj (N.N. 90/92.) formirana je Općina Brckovljani na istočnom dijelu bivše Općine Dugo Selo u Zagrebačkoj županiji.</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Općina Brckovljani prostire se na području koje je omeđeno sa zapadne strane prema gradu Dugom Selu rječicom Zelinom, sa istočne strane prema gradu Vrbovcu rijekom Lonjom, sa sjeverne strane je grad Sveti Ivan Zelina dok je sa južne strane područje grada Ivanić Grada do autoceste Zagreb - Slavonski Brod.</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Kroz područje Općine Brckovljani prolaze dvije željezničke pruge, Zagreb - Koprivnica i Zagreb - Novska - Slavonski Brod.</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Sjeverno od državne ceste Zagreb - Bjelovar su brežuljci Sveti Jakob i Hrebinečko - Štakorovečki brijeg.</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Južno od spomenute državne ceste prostire se ravničarski predio prema jugu.</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 opisanom području nalazi se 13 naselja: Brckovljani, Božjakovina, Gračec, Gornja Greda, Hrebinec, Lupoglav, Kusanovec, Prečec, Prikraj, Tedrovec, Štakorovec, Stančić i Gornje Dvorišće u kojem živi 6.600 stanovnika.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Zbog povoljnog položaja i blizine grada Zagreba stalan je mehanički priliv stanovništva.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Osim navedenog osnovna je karakteristika Općine prisustvo velikih površina poljoprivrednog zemljišta. U Božjakovini je već od 11. stoljeća postojalo poljoprivredno gospodarsko dobro koje je bilo u vlasništvu viteškog reda Templara, Zrinskih, Erdody, Draškovića i Tokay, a u najnovijoj povijesti poljoprivredno dobro uglavnom je u vlasništvu države.</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Pored izrazitih prirodnih pejzažnih vrijednosti povijesna baština dala je Općini Brckovljani i značajna spomenička obilježja što zajedno daje specifičan identitet općini.</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1. </w:t>
      </w:r>
      <w:r>
        <w:rPr>
          <w:rStyle w:val="apple-converted-space"/>
          <w:rFonts w:ascii="Arial" w:hAnsi="Arial" w:cs="Arial"/>
          <w:color w:val="000000"/>
          <w:sz w:val="20"/>
          <w:szCs w:val="20"/>
        </w:rPr>
        <w:t> </w:t>
      </w:r>
      <w:r>
        <w:rPr>
          <w:rFonts w:ascii="Arial" w:hAnsi="Arial" w:cs="Arial"/>
          <w:color w:val="000000"/>
          <w:sz w:val="20"/>
          <w:szCs w:val="20"/>
        </w:rPr>
        <w:t>POKRIVENOST PODRUČJA OPĆINE BRCKOVLJANI PROSTORNIM PLANOVIMA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xml:space="preserve">Kao dio bivše općine Dugo Selo općina Brckovljani je u cijelosti pokrivena Prostornim planom općine Dugo Selo (Dugoselska kronika 10/90.) . Ovaj je </w:t>
      </w:r>
      <w:r>
        <w:rPr>
          <w:rFonts w:ascii="Arial" w:hAnsi="Arial" w:cs="Arial"/>
          <w:color w:val="000000"/>
          <w:sz w:val="20"/>
          <w:szCs w:val="20"/>
        </w:rPr>
        <w:lastRenderedPageBreak/>
        <w:t>plan izrađen i donijet na temelju Zakona o prostornom planiranju i uređivanju prostora iz 1980. godine i sada je na snazi.</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Pored navedenog vremenskog ograničenja važenja prostornog plana općine Dugo Selo, sa stanovišta općine Brckovljani mogu se uvodno dati i sljedeće konstatacije: Primjena općinskog prostornog plana bila je povoljna, jer su planom utvrđena građevinska područja i vrlo detaljne odredbe za provođenje plana, te nema većih problema u provođenju plana. To se, naravno, odnosi na dominantni vid izgradnje obiteljskih kuća. Isti plan svrhovit je i zbog toga što čuva čitav niz prometnih i drugih koridora infrastrukture, dok se ne preispitaju njihove trase i režimi korištenja.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Bitan je nedostatak istog plana, sa stanovišta općine Brckovljani u tome, što je ona u okviru plana tretirana kao periferni prostor centralnog naselja Dugog Sela. Time je općina Brckovljani bila lišena određenih elemenata prostorne organizacije koji su vezani za njen današnji status samostalne općine (hijerarhija i sadržajna opremljenost centra), a namjenom površina nisu osigurani prostori radnih i drugih sadržaja koji bi omogućili ekonomski prosperitet dovoljan za unapređenje kvalitete života u pogledu komunalnog i društvenog standarda.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Da bi osigurala preduvjete za bolji gospodarski razvitak općine, Općina Brckovljani kupila je državno zemljište i pokrenula postupak donošenja "Izmjena i dopuna Prostornog plana (bivše) Općine Dugo Selo za područje dijela Općine Brckovljani".</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Spomenuti dokument donijela je Županijska skupština Zagrebačke županije 12. svibnja 2003. godine (Glasnik Zagrebačke županije 9/03.).</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Ovim dokumentom prostornog uređenja Općina Brckovljani omogućila je izgradnju zona gospodarske namjene K1 Božjakovina na dijelu k.č.br. 1547, k.o. Brckovljani površine 18,84 ha i zona K2 Prikraj na k.č.br. 1567 i 1568 k.o. Brckovljani ukupne površine 15,16 ha.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Vezano za ove zone u prosincu 2003. godine proveden je natječaj i ugovorena izrada Detaljnog plana uređenja zona gospodarske namjene K1 i K2.</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Da bi se udovoljilo zakonskoj obvezi i time stvorili preduvjeti za uravnotežen razvoj cijele Općine Brckovljani u rujnu 2003. godine ugovorena je izrada novog Prostornog plana uređenja Općine Brckovljani.</w:t>
      </w:r>
    </w:p>
    <w:p w:rsidR="009B62B4" w:rsidRDefault="009B62B4" w:rsidP="009B62B4">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2. KONCEPTUALNA OBILJEŽJA PROSTORNOG RAZVITKA NA TEMELJU PROSTORNOG PLANA OPĆINE DUGO SELO</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Konstatacije o stanju koje se iznose u planu i danas u potpunosti odgovaraju situaciji. To je bila istočna prigradska općina u prstenu oko Zagreba, kojom prolazi nekoliko magistralnih prometnih koridora: cestovni Zagreb - Bjelovar, željeznički Zagreb - Koprivnica, i Zagreb - Slavonski Brod. Za razliku od povijesnog razvojnog impulsa poljoprivrede, u zadnjih tridesetak godina u Dugom Selu lociraju se industrije, a i periferijske stanovanje karakteristično za migracijsko područje metropole. Istovremeno je to i područje vikend izgradnje vezane na pejzažne i ekologijske vrijednosti prostora, što je donekle u koliziji s planiranim industrijskim razvojem.</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Koncentracija razvoja (pretežno kvantitativnog rasta vezana je na potez naselja uz državnu cestu za Zagreb - Bjelovar (D 41) i županijske ceste Gračec - Štakorovec i Brckovljani - Lupoglav dok u drugim naseljima pada broj stanovnika, kao i u nekad važnom središtu Lupoglav u današnjoj općini Brckovljani. Kako za razvoj nisu korištene prednosti povoljnog prometnog položaja (posebno dva kraka željeznice), tako niti poljoprivredna proizvodnja nije davala rezultate razmjerne ulaganjima u komasacije i melioracije (Črnec polje, Božjakovina).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xml:space="preserve">Sve to uzrokom je zaostajanje komunalnog i društvenog standarda za potrebama rastućeg broja stanovnika. Nedostaje riješena odvodnje i deponiranje otpada. Izgrađeni veliki sistemi koji prolaze područjem u funkciji su međuregionalnog povezivanja, a ne opskrbe ove općine. U društvenom standardu nedostaje srednja škola, kulturne i socijalne ustanove i slično. U </w:t>
      </w:r>
      <w:r>
        <w:rPr>
          <w:rFonts w:ascii="Arial" w:hAnsi="Arial" w:cs="Arial"/>
          <w:color w:val="000000"/>
          <w:sz w:val="20"/>
          <w:szCs w:val="20"/>
        </w:rPr>
        <w:lastRenderedPageBreak/>
        <w:t>pogledu zaštite okoline posebno su ugroženi vodotoci i tla nedostatkom regularne odvodnje, brežuljkasti tereni erozijom od bujica i klizišta, a sva tla divljim deponiranjem otpada.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Potencijal razvojnih planova vidi se upravo u prometnom položaju, što u istom smislu vrijedi i za prostor današnje općine Brckovljani, te u razvoju poljoprivrede, što je posebno izraženo baš u Brckovljanima, te u prerađivačkoj industriji vezanoj na poljoprivredu, posebno sortiranje i ambalažiranje, a nikako ne kroz proizvodnju koja koristi veće količine vode.</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Ciljevi su: uspostaviti mrežu žarišta razvoja umjesto samo jednog poteza (centra); formirati gospodarske zone; omogućiti razvoj turizma, tercijara i društvenih djelatnosti; preći pragove infrastrukture i barijere prometa, postići određenije definirane interese metropole prema ovom prostoru; odrediti mjere sanacije i zaštitu (uz posebnu napomenu da nema utvrđenog stanja zagađenja niti mjerenja); usmjeravati izgradnju na racionalniji način umjesto nizanje uz ceste.</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Koncepcija plana bazirana na ovim ciljevima vodi računa o maksimalnom očuvanju poljoprivrednog zemljišta, uspostavi sistema (hijerarhije) naselja u fizionomijskom i sadržajnom smislu, zaštiti šuma, zaštiti i sanaciji ugroženih područja, razvoju infrastrukture i selektivnosti prema vanjskim inicijativama. Stoga su definirane zone prioritetnog razvoja od kojih su za današnju općinu Brckovljani relevantni: dio centralnog te cijeli sjeverni i istočni razvojni pravac, dok se ostali razvojni pravci odnose na nove općine Rugvicu i Dugo Selo. Centralni se razvojni pravac poklapa s egzistentnom razvojnom zonom uz državnu prometnicu Sesvete - Dugo Selo - Brckovljani, te se dijelom odnosi na današnju općinu Brckovljani. Sjeverni razvojni pravac obuhvaća brežuljkasti dio općine Brckovljani sjeverno od magistralne ceste, a istočni pravac južni, ravničarski, poljoprivredni dio općine Brckovljani. Dok se u centralnom pravcu pored poljoprivrede planira i industrija (radna zona), u sjevernom se pravcu planira poljoprivreda, mala privreda i prigradski turizam, a u istočnom samo poljoprivreda. Mogući konflikti u prostoru spominju se u centralnom pravcu kroz razvoj industrije i poljoprivrede te turizma (zauzimanje zemljišta i ekologijske i pejzažne vrijednosti prostora). Za sve je pravce karakteristično ograničenje: odvodnje, energetike. Zaštita se u svim prostorima odnosi na vodotoke, podzemnu vodu i tla, šume, spomeničke cjeline (seoska naselja) i pojedinačne etnološke spomenike kulture.</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Planom namjene površina određene su u općini Brckovljani zone naselja (građevinska područja), šumske i poljoprivredne površine i jedino manje industrijsko-skladišne zone u Božjakovini, Prikraju, Gračecu i Gornjem Dvorišću te koridori prometa. Na istom grafičkom prikazu simbolima su označeni načelne lokacije pratećih radnih pogona poljoprivrede, čija je realizacija zamišljena izvan građevinskih područja: sabirno-preradbena zona za poljoprivredne sirovine i skladišno-konfekcijska djelatnost (međufazna i prateća proizvodnja) PREČEC i PRIKRAJ ekonomska dvorišta (servisiranje agroopreme te poljoprivredne avijacije - uz poletno-sletne staze Prečec, Štakorovec).</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Od vrsta poljoprivredne proizvodnje i drugih privrednih djelatnosti navedeno je voćarstvo i vinogradarstvo u Brckovljanima, agrikultura u Prečecu, Stančiću i Hrebincu, proizvodnja jaja u Božjakovini (nesilice), te male mliječna farme, prerada voća i povrća, stočarske peradarske farme kroz individualne pogone - prema granici sa Zelinom. Od ostalih djelatnosti plan predviđa razvoj uslužnih djelatnosti osobnih usluga, spominjući odlaganje i preradu krutog otpada - bez posebno označene lokacije. Također se spominje razvoj ugostiteljstva vezano za vikend zone u centralnoj i sjevernoj zoni razvoja (Božjakovina, Brckovljani, Stančić), te sugerira specijaliziranu vinoteku u vinskom podrumu Božjakovina i aktiviranje mreže kurija kroz ponudu specijaliziranog ugostiteljstva. Sustav naselja predviđen planom uspostavlja hijerarhiju centara, te pored općinskog središta, odnosno središta mikroregije Dugo Selo, uspostavlja hijerarhiju sekundarnih središta,</w:t>
      </w:r>
      <w:r>
        <w:rPr>
          <w:rStyle w:val="apple-converted-space"/>
          <w:rFonts w:ascii="Arial" w:hAnsi="Arial" w:cs="Arial"/>
          <w:color w:val="000000"/>
          <w:sz w:val="20"/>
          <w:szCs w:val="20"/>
          <w:lang w:val="en-US"/>
        </w:rPr>
        <w:t> </w:t>
      </w:r>
      <w:r>
        <w:rPr>
          <w:rFonts w:ascii="Arial" w:hAnsi="Arial" w:cs="Arial"/>
          <w:color w:val="000000"/>
          <w:sz w:val="20"/>
          <w:szCs w:val="20"/>
        </w:rPr>
        <w:t>lokalnih centara:</w:t>
      </w:r>
    </w:p>
    <w:p w:rsidR="009B62B4" w:rsidRDefault="009B62B4" w:rsidP="009B62B4">
      <w:pPr>
        <w:pStyle w:val="tekst"/>
        <w:numPr>
          <w:ilvl w:val="0"/>
          <w:numId w:val="1"/>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Brckovljani - Božjakovina - Gračec - Prikraj (razvoj oslonjen na gospodarske zone poljoprivredu i prigradski turizam)</w:t>
      </w:r>
    </w:p>
    <w:p w:rsidR="009B62B4" w:rsidRDefault="009B62B4" w:rsidP="009B62B4">
      <w:pPr>
        <w:pStyle w:val="tekst"/>
        <w:numPr>
          <w:ilvl w:val="0"/>
          <w:numId w:val="1"/>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lastRenderedPageBreak/>
        <w:t>Lupoglav - Prečec (poljoprivredni centar)</w:t>
      </w:r>
    </w:p>
    <w:p w:rsidR="009B62B4" w:rsidRDefault="009B62B4" w:rsidP="009B62B4">
      <w:pPr>
        <w:pStyle w:val="tekst"/>
        <w:numPr>
          <w:ilvl w:val="0"/>
          <w:numId w:val="1"/>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Stančić - Štakorovec</w:t>
      </w:r>
      <w:r>
        <w:rPr>
          <w:rStyle w:val="apple-converted-space"/>
          <w:rFonts w:ascii="Arial" w:hAnsi="Arial" w:cs="Arial"/>
          <w:color w:val="000000"/>
          <w:sz w:val="20"/>
          <w:szCs w:val="20"/>
        </w:rPr>
        <w:t> </w:t>
      </w:r>
      <w:r>
        <w:rPr>
          <w:rFonts w:ascii="Arial" w:hAnsi="Arial" w:cs="Arial"/>
          <w:color w:val="000000"/>
          <w:sz w:val="20"/>
          <w:szCs w:val="20"/>
        </w:rPr>
        <w:t>(pomoćno središnje naselje)</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Ove kategorije centara trebaju zadovoljavati temeljne središnje funkcije za svakodnevni život. Kategorija centra uvjetuje i opremu društvenom infrastrukturom, te se u lokalnom centru planira osnovna škola i dječja ustanova, ambulanta, društveni dom (postoje objekti), sportski sadržaji i mogućnost eventualne uspostave poljoprivredne stručne škole u Božjakovini.</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Promet</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Izgradnjom autoceste u znatnoj mjeri je odterećena državna cesta D 41 Zagreb - Bjelovar.</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narednom razdoblju osnove politike cestovnog prometa treba usmjeriti poboljšanju postojećih trasa cesta etapnim rekonstrukcijama poprečnog profila ceste površinama namijenjenim pješacima biciklistima i zaštitnom zelenilu te poboljšanju prometnih tokova i signalizacije na raskrižjima.</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Željeznički promet</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Današnja mreža pruga i postaja u cijelosti zadovoljava. U narednom razdoblju potrebno je produžiti gradske linije koje danas završavaju u Dugom Selu.</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Prioritetno je također iseliti "stanare" iz postojeće postajne zgrade koja treba služiti putnicima željeznice. Na nekim cestovnim prijelazima pruge ne postoje uređaji za dojavu niti brklje pa bi ih trebalo u interesu sigurnosti što prije instalirati.</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Pošte i telekomunikacijska mreža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Brckovljanima treba otvoriti ured pošte koji je prije postojao.</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Cijelo područje Općine Brckovljani pokriveno je kvalitetnom telekomunikacijskom mrežom.</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Vodoopskrba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Sva naselja u Općini Brckovljani imaju izgrađenu vodovodnu mrežu koja je vezana na vodovod grada Zagreba magistralnim vodovodom Zagreb - Istok preko prepumpne stanice u Božjakovini.</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Obrana od poplava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Može se konstatirati da je obrana od poplave u većem dijelu riješena pa je potrebno u narednom razdoblju održavati sve izvedene sustave zaštite od poplave.</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Odvodnja i pročišćavanje otpadnih voda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općini nije riješen sustav odvodnje i uređaja za pročišćavanje otpadnih voda i time je stvorena loša sanitarna situacija u životu stanovnika općine. Zagađuje se cijeli okoliš mjesta i okolnih naselja. Neophodno je učiniti reviziju cjelovite studije odvodnje područja općine naročito sa stanovišta rasporeda lokacija uređaja za pročišćavanje. Posebnu pažnju treba posvetiti odvodnji ruralnog područja sela i zaseoka i proizvodnih objekata poljoprivrede u Božjakovini.</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Opskrba strujom</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Postojeće stanje razvoja elektroenergetske mreže ne zadovoljava. Sva naselja imaju električnu zračnu mrežu sa nedovoljnim brojem trafo objekata 10/0,4 kV preko koje prolazi i magistralni vod za TS VRBOVEC.</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Opskrba plinom</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svim naseljima Općine Brckovljani izgrađena je distributivna mreža zemnog plina.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lastRenderedPageBreak/>
        <w:t>Opskrbna mreža plinom nije izgrađena u vikend području Hrebinečkog i Štakorovečkog brijega zbog nerentabilnosti distribucije (mali broj potrošača).</w:t>
      </w:r>
    </w:p>
    <w:p w:rsidR="009B62B4" w:rsidRDefault="009B62B4" w:rsidP="009B62B4">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Otpad</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Plan je utvrdio načelnu lokaciju deponije komunalnog otpada.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Takvo načelno rješavanje problema otpada, uz deklarativne postavke plana o zaštiti tla i okoliša rezultiraju divljim deponiranjem na brojnim lokacijama i u općini Brckovljani, ugrožavajući faktično okoliš.</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poglede zaštite okoliša konstatira se da nije bilo moguće izvršiti valorizaciju prostora temeljenu na praćenju i trajnom istraživanju stanja okoliša. Posebno se ističu sljedeći aspekti zaštite okoliša:</w:t>
      </w:r>
    </w:p>
    <w:p w:rsidR="009B62B4" w:rsidRDefault="009B62B4" w:rsidP="009B62B4">
      <w:pPr>
        <w:pStyle w:val="tekst"/>
        <w:numPr>
          <w:ilvl w:val="0"/>
          <w:numId w:val="2"/>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zaštita voda - degradiranih zbog nedostatka regulirane odvodnje i prečistača, neuređenih gospodarskih dvorišta i septičkih jama, primjene kemijskih sredstava u poljoprivredi, zaštita od brdskih voda - izgradnjom retencija, lateralnih kanala i propusta u cestovnim i željezničkim nasipima</w:t>
      </w:r>
    </w:p>
    <w:p w:rsidR="009B62B4" w:rsidRDefault="009B62B4" w:rsidP="009B62B4">
      <w:pPr>
        <w:pStyle w:val="tekst"/>
        <w:numPr>
          <w:ilvl w:val="0"/>
          <w:numId w:val="2"/>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zaštita šuma - svedenih krčenjem zbog obradivog zemljišta (u ravnici) i izgradnje (na brežuljcima) na ostatke koje treba sačuvati i gdje je moguće proširiti pošumljavanjem</w:t>
      </w:r>
    </w:p>
    <w:p w:rsidR="009B62B4" w:rsidRDefault="009B62B4" w:rsidP="009B62B4">
      <w:pPr>
        <w:pStyle w:val="tekst"/>
        <w:numPr>
          <w:ilvl w:val="0"/>
          <w:numId w:val="2"/>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zaštita poljoprivrednog tla - od upotrebe kemijskih sredstava u intenzivnoj poljoprivredi i deponiranja otpada</w:t>
      </w:r>
    </w:p>
    <w:p w:rsidR="009B62B4" w:rsidRDefault="009B62B4" w:rsidP="009B62B4">
      <w:pPr>
        <w:pStyle w:val="tekst"/>
        <w:numPr>
          <w:ilvl w:val="0"/>
          <w:numId w:val="2"/>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zaštita zraka - zasad isključivo vezano na prometnice</w:t>
      </w:r>
    </w:p>
    <w:p w:rsidR="009B62B4" w:rsidRDefault="009B62B4" w:rsidP="009B62B4">
      <w:pPr>
        <w:pStyle w:val="tekst"/>
        <w:numPr>
          <w:ilvl w:val="0"/>
          <w:numId w:val="2"/>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zaštita od buke - perspektivno je treba primjenjivati</w:t>
      </w:r>
    </w:p>
    <w:p w:rsidR="009B62B4" w:rsidRDefault="009B62B4" w:rsidP="009B62B4">
      <w:pPr>
        <w:pStyle w:val="tekst"/>
        <w:numPr>
          <w:ilvl w:val="0"/>
          <w:numId w:val="2"/>
        </w:numPr>
        <w:spacing w:before="15" w:beforeAutospacing="0" w:after="15" w:afterAutospacing="0"/>
        <w:ind w:left="1770" w:right="1050"/>
        <w:jc w:val="both"/>
        <w:rPr>
          <w:rFonts w:ascii="Arial" w:hAnsi="Arial" w:cs="Arial"/>
          <w:color w:val="000000"/>
          <w:sz w:val="20"/>
          <w:szCs w:val="20"/>
        </w:rPr>
      </w:pPr>
      <w:r>
        <w:rPr>
          <w:rFonts w:ascii="Arial" w:hAnsi="Arial" w:cs="Arial"/>
          <w:color w:val="000000"/>
          <w:sz w:val="20"/>
          <w:szCs w:val="20"/>
        </w:rPr>
        <w:t>otpad - preporuka je primjena sistema deponija s kontroliranim prekrivanjem zemljom, bez lokacije</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Zaštita prirode ostvarit će se kroz očuvanje (i mjestimično proširenje) svih šuma. Zatim će se štititi parkovi Božjakovina i Prečec, ornitološki rezervat Lupoglav - Čret, park šuma Lešćara, i vidikovci Brckovljani i Hrebinečki breg (sačuvati vizure i spriječiti degradaciju prostora). Posebno se navodi da su hidromelioracionim zahvatima uništeni šumarci, vrbici, živica, koji su svi imali značajan mikroklimatski utjecaj i služili kao stanište životinjama, dakle ukupnom ekološkoj ravnoteži prostora. Zbog toga se preporuča stvoriti nove poljozaštitne pojaseve uz kanale s autohtonim vrstama visokog i drugog zelenila.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Graditeljska baština koju treba zaštititi su naselja tradicijske tipologije: naselja s autentičnom seoskom matricom, karakteristični potezi i rahlost izgradnje (gotovo sva naselja), te pojedinačni objekti koje treba sačuvati i eventualno preseliti u etnopark (Gornje Dvorišće, Gračec, Štakorovec).</w:t>
      </w:r>
    </w:p>
    <w:p w:rsidR="009B62B4" w:rsidRDefault="009B62B4" w:rsidP="009B62B4">
      <w:pPr>
        <w:pStyle w:val="naslovl"/>
        <w:spacing w:before="360" w:beforeAutospacing="0" w:after="240" w:afterAutospacing="0" w:line="240" w:lineRule="atLeast"/>
        <w:ind w:left="1050" w:right="1050"/>
        <w:rPr>
          <w:rFonts w:ascii="Arial" w:hAnsi="Arial" w:cs="Arial"/>
          <w:b/>
          <w:bCs/>
          <w:color w:val="000000"/>
          <w:sz w:val="20"/>
          <w:szCs w:val="20"/>
        </w:rPr>
      </w:pPr>
      <w:r>
        <w:rPr>
          <w:rFonts w:ascii="Arial" w:hAnsi="Arial" w:cs="Arial"/>
          <w:b/>
          <w:bCs/>
          <w:color w:val="000000"/>
          <w:sz w:val="20"/>
          <w:szCs w:val="20"/>
        </w:rPr>
        <w:t>3. OCJENA SVRHOVITOSTI PROSTORNOG PLANA OPĆINE DUGO SELO ZA OPĆINU BRCKOVLJANI</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Od donošenja Prostornog plana općine Dugo Selo zbilo se nekoliko značajnih promjena koje relativiziraju već naznačene pozitivne vrijednosti ovog plana (mogućnost izgradnje obiteljskih kuća unutar građevinskih područja na temelju odredaba za provođenje prostornog plana i očuvanje infrastrukturnih koridora):</w:t>
      </w:r>
    </w:p>
    <w:p w:rsidR="009B62B4" w:rsidRDefault="009B62B4" w:rsidP="009B62B4">
      <w:pPr>
        <w:pStyle w:val="tekst"/>
        <w:spacing w:before="15" w:beforeAutospacing="0" w:after="15" w:afterAutospacing="0"/>
        <w:ind w:left="1275" w:right="1050" w:hanging="225"/>
        <w:jc w:val="both"/>
        <w:rPr>
          <w:rFonts w:ascii="Arial" w:hAnsi="Arial" w:cs="Arial"/>
          <w:color w:val="000000"/>
          <w:sz w:val="20"/>
          <w:szCs w:val="20"/>
        </w:rPr>
      </w:pPr>
      <w:r>
        <w:rPr>
          <w:rFonts w:ascii="Arial" w:hAnsi="Arial" w:cs="Arial"/>
          <w:color w:val="000000"/>
          <w:sz w:val="20"/>
          <w:szCs w:val="20"/>
        </w:rPr>
        <w:t> </w:t>
      </w:r>
    </w:p>
    <w:p w:rsidR="009B62B4" w:rsidRDefault="009B62B4" w:rsidP="009B62B4">
      <w:pPr>
        <w:pStyle w:val="tekst"/>
        <w:spacing w:before="15" w:beforeAutospacing="0" w:after="15" w:afterAutospacing="0"/>
        <w:ind w:left="1725" w:right="1050" w:hanging="225"/>
        <w:jc w:val="both"/>
        <w:rPr>
          <w:rFonts w:ascii="Arial" w:hAnsi="Arial" w:cs="Arial"/>
          <w:color w:val="000000"/>
          <w:sz w:val="20"/>
          <w:szCs w:val="20"/>
        </w:rPr>
      </w:pPr>
      <w:r>
        <w:rPr>
          <w:rFonts w:ascii="Arial" w:hAnsi="Arial" w:cs="Arial"/>
          <w:color w:val="000000"/>
          <w:sz w:val="20"/>
          <w:szCs w:val="20"/>
        </w:rPr>
        <w:t>a) Brckovljani su postala samostalna općina koja sada ima potrebu uspostaviti svoj vlastiti centar sa svim sadržajima koji karakteriziraju općinski centar (uprava, kultura, socijala, obrazovanje, zdravstvo, sport itd.</w:t>
      </w:r>
    </w:p>
    <w:p w:rsidR="009B62B4" w:rsidRDefault="009B62B4" w:rsidP="009B62B4">
      <w:pPr>
        <w:pStyle w:val="tekst"/>
        <w:spacing w:before="15" w:beforeAutospacing="0" w:after="15" w:afterAutospacing="0"/>
        <w:ind w:left="1725" w:right="1050" w:hanging="225"/>
        <w:jc w:val="both"/>
        <w:rPr>
          <w:rFonts w:ascii="Arial" w:hAnsi="Arial" w:cs="Arial"/>
          <w:color w:val="000000"/>
          <w:sz w:val="20"/>
          <w:szCs w:val="20"/>
        </w:rPr>
      </w:pPr>
      <w:r>
        <w:rPr>
          <w:rFonts w:ascii="Arial" w:hAnsi="Arial" w:cs="Arial"/>
          <w:color w:val="000000"/>
          <w:sz w:val="20"/>
          <w:szCs w:val="20"/>
        </w:rPr>
        <w:t>b) Nova općina sada je nositelj inicijative razvoja koji bi osigurao ekonomski prosperitet općine i njeno postupno opremanje infrastrukturnim i društvenim sadržajima, što se teško može provesti samo razvojem poljoprivrede.</w:t>
      </w:r>
    </w:p>
    <w:p w:rsidR="009B62B4" w:rsidRDefault="009B62B4" w:rsidP="009B62B4">
      <w:pPr>
        <w:pStyle w:val="tekst"/>
        <w:spacing w:before="15" w:beforeAutospacing="0" w:after="15" w:afterAutospacing="0"/>
        <w:ind w:left="1725" w:right="1050" w:hanging="225"/>
        <w:jc w:val="both"/>
        <w:rPr>
          <w:rFonts w:ascii="Arial" w:hAnsi="Arial" w:cs="Arial"/>
          <w:color w:val="000000"/>
          <w:sz w:val="20"/>
          <w:szCs w:val="20"/>
        </w:rPr>
      </w:pPr>
      <w:r>
        <w:rPr>
          <w:rFonts w:ascii="Arial" w:hAnsi="Arial" w:cs="Arial"/>
          <w:color w:val="000000"/>
          <w:sz w:val="20"/>
          <w:szCs w:val="20"/>
        </w:rPr>
        <w:t>c) U međuvremenu je djelomično provedena privatizacija poljoprivrednog dobra Božjakovina (nije data koncesija za poljoprivredno zemljište te se sada potencijalno javljaju novi inicijatori razvoja).</w:t>
      </w:r>
    </w:p>
    <w:p w:rsidR="009B62B4" w:rsidRDefault="009B62B4" w:rsidP="009B62B4">
      <w:pPr>
        <w:pStyle w:val="tekst"/>
        <w:spacing w:before="15" w:beforeAutospacing="0" w:after="15" w:afterAutospacing="0"/>
        <w:ind w:left="1725" w:right="1050" w:hanging="225"/>
        <w:jc w:val="both"/>
        <w:rPr>
          <w:rFonts w:ascii="Arial" w:hAnsi="Arial" w:cs="Arial"/>
          <w:color w:val="000000"/>
          <w:sz w:val="20"/>
          <w:szCs w:val="20"/>
        </w:rPr>
      </w:pPr>
      <w:r>
        <w:rPr>
          <w:rFonts w:ascii="Arial" w:hAnsi="Arial" w:cs="Arial"/>
          <w:color w:val="000000"/>
          <w:sz w:val="20"/>
          <w:szCs w:val="20"/>
        </w:rPr>
        <w:lastRenderedPageBreak/>
        <w:t>d) Zagrebačka metropola vjerojatno će iskazati potrebe novih koncepata razvoja koji se mogu reflektirati na prostor ove općine - npr. istočni terminal, kontejnerski terminal, bescarinska zona i sl koji bi ovdje našli optimalne lokacije (željeznički i cestovni pravci)</w:t>
      </w:r>
    </w:p>
    <w:p w:rsidR="009B62B4" w:rsidRDefault="009B62B4" w:rsidP="009B62B4">
      <w:pPr>
        <w:pStyle w:val="tekst"/>
        <w:spacing w:before="15" w:beforeAutospacing="0" w:after="15" w:afterAutospacing="0"/>
        <w:ind w:left="1725" w:right="1050" w:hanging="225"/>
        <w:jc w:val="both"/>
        <w:rPr>
          <w:rFonts w:ascii="Arial" w:hAnsi="Arial" w:cs="Arial"/>
          <w:color w:val="000000"/>
          <w:sz w:val="20"/>
          <w:szCs w:val="20"/>
        </w:rPr>
      </w:pPr>
      <w:r>
        <w:rPr>
          <w:rFonts w:ascii="Arial" w:hAnsi="Arial" w:cs="Arial"/>
          <w:color w:val="000000"/>
          <w:sz w:val="20"/>
          <w:szCs w:val="20"/>
        </w:rPr>
        <w:t>e) Za očekivati je porast svijesti o značaju ekologijskih uvjeta života (donijet je i novi zakon o zaštiti okoliša), te se ova općina sa zasada relativno zdravim okolišem, mora suočiti s potrebom rješavanja problema koji postoje: izgradnja kanalizacije s prečistačima, rješavanje problema otpada, regulacijom potoka i pošumljavanjem zbog sanacije klizišta i erozija</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Isto tako u porastu je potreba za očuvanjem povijesnog nasljeđa kao bitne komponente jačanja nacionalnog i regionalnog prigorsko-posavskog identiteta, i to kao psiho-socijalna kategorija tako i element unapređenja atraktivnosti područja zbog ekonomskog i društvenog razvoja. Iako je plan visoko ocijenio tradicionalne ruralne ambijente i objekte, u potpunosti je izostala valorizacija i mjere zaštite jedinstvene vrijednosti imanja Božjakovina, čiji su objekti razasuti cijelim teritorijem općine kao materijalno svjedočanstvo 800-godišnjeg trajanja ovog imanja.</w:t>
      </w:r>
    </w:p>
    <w:p w:rsidR="009B62B4" w:rsidRDefault="009B62B4" w:rsidP="009B62B4">
      <w:pPr>
        <w:pStyle w:val="predsjednik"/>
        <w:spacing w:before="120" w:beforeAutospacing="0" w:after="120" w:afterAutospacing="0" w:line="240" w:lineRule="atLeast"/>
        <w:ind w:left="1050" w:right="1050"/>
        <w:jc w:val="right"/>
        <w:rPr>
          <w:rFonts w:ascii="Arial" w:hAnsi="Arial" w:cs="Arial"/>
          <w:color w:val="000000"/>
          <w:sz w:val="20"/>
          <w:szCs w:val="20"/>
        </w:rPr>
      </w:pPr>
      <w:r>
        <w:rPr>
          <w:rFonts w:ascii="Arial" w:hAnsi="Arial" w:cs="Arial"/>
          <w:color w:val="000000"/>
          <w:sz w:val="20"/>
          <w:szCs w:val="20"/>
        </w:rPr>
        <w:t>PREDSJEDNIK OPĆINSKOG VIJEĆA</w:t>
      </w:r>
      <w:r>
        <w:rPr>
          <w:rFonts w:ascii="Arial" w:hAnsi="Arial" w:cs="Arial"/>
          <w:color w:val="000000"/>
          <w:sz w:val="20"/>
          <w:szCs w:val="20"/>
        </w:rPr>
        <w:br/>
        <w:t>OPĆINE BRCKOVLJANI</w:t>
      </w:r>
      <w:r>
        <w:rPr>
          <w:rFonts w:ascii="Arial" w:hAnsi="Arial" w:cs="Arial"/>
          <w:color w:val="000000"/>
          <w:sz w:val="20"/>
          <w:szCs w:val="20"/>
        </w:rPr>
        <w:br/>
      </w:r>
      <w:r>
        <w:rPr>
          <w:rFonts w:ascii="Arial" w:hAnsi="Arial" w:cs="Arial"/>
          <w:b/>
          <w:bCs/>
          <w:color w:val="000000"/>
          <w:sz w:val="20"/>
          <w:szCs w:val="20"/>
        </w:rPr>
        <w:t>Milan Kralj, v. r.</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Klasa: 350-01/01/193</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Ur.broj:238/04-03-1</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Dugo Selo, 29.12.2003.</w:t>
      </w:r>
    </w:p>
    <w:p w:rsidR="009B62B4" w:rsidRDefault="009B62B4" w:rsidP="009B62B4">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w:t>
      </w:r>
    </w:p>
    <w:p w:rsidR="00A72DFE" w:rsidRDefault="00A72DFE"/>
    <w:sectPr w:rsidR="00A72D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5D5"/>
    <w:multiLevelType w:val="multilevel"/>
    <w:tmpl w:val="2D6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93EB8"/>
    <w:multiLevelType w:val="multilevel"/>
    <w:tmpl w:val="BA3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9B62B4"/>
    <w:rsid w:val="009B62B4"/>
    <w:rsid w:val="00A72DF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9B6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9B6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9B6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9B62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9B6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B62B4"/>
  </w:style>
  <w:style w:type="paragraph" w:customStyle="1" w:styleId="predsjednik">
    <w:name w:val="predsjednik"/>
    <w:basedOn w:val="Normal"/>
    <w:rsid w:val="009B62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81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2770</Words>
  <Characters>15789</Characters>
  <Application>Microsoft Office Word</Application>
  <DocSecurity>0</DocSecurity>
  <Lines>131</Lines>
  <Paragraphs>37</Paragraphs>
  <ScaleCrop>false</ScaleCrop>
  <Company/>
  <LinksUpToDate>false</LinksUpToDate>
  <CharactersWithSpaces>18522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2016-07-19T19:40:00Z</dcterms:created>
  <dcterms:modified xsi:type="dcterms:W3CDTF">2016-07-19T19:40:00Z</dcterms:modified>
</cp:coreProperties>
</file>